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2B" w:rsidRDefault="0074732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In 2013, a full review of the </w:t>
      </w:r>
      <w:r w:rsidR="00133FB7" w:rsidRPr="00133FB7">
        <w:rPr>
          <w:rFonts w:ascii="Arial" w:hAnsi="Arial" w:cs="Arial"/>
          <w:bCs/>
          <w:i/>
          <w:spacing w:val="-3"/>
          <w:sz w:val="22"/>
          <w:szCs w:val="22"/>
        </w:rPr>
        <w:t xml:space="preserve">Guide, Hearing and Assistance Dogs Act 2009 </w:t>
      </w:r>
      <w:r w:rsidR="00133FB7" w:rsidRPr="00133FB7">
        <w:rPr>
          <w:rFonts w:ascii="Arial" w:hAnsi="Arial" w:cs="Arial"/>
          <w:bCs/>
          <w:spacing w:val="-3"/>
          <w:sz w:val="22"/>
          <w:szCs w:val="22"/>
        </w:rPr>
        <w:t>(the Act)</w:t>
      </w:r>
      <w:r w:rsidR="00133FB7" w:rsidRPr="00133FB7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commenced </w:t>
      </w:r>
      <w:r w:rsidR="005F299C">
        <w:rPr>
          <w:rFonts w:ascii="Arial" w:hAnsi="Arial" w:cs="Arial"/>
          <w:bCs/>
          <w:spacing w:val="-3"/>
          <w:sz w:val="22"/>
          <w:szCs w:val="22"/>
        </w:rPr>
        <w:t>to ensure the Act continues to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deliver on its objectives for people with disability as well as industry. </w:t>
      </w:r>
    </w:p>
    <w:p w:rsidR="005E346D" w:rsidRDefault="0074732B" w:rsidP="007F1CD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F1CDC">
        <w:rPr>
          <w:rFonts w:ascii="Arial" w:hAnsi="Arial" w:cs="Arial"/>
          <w:bCs/>
          <w:spacing w:val="-3"/>
          <w:sz w:val="22"/>
          <w:szCs w:val="22"/>
        </w:rPr>
        <w:t xml:space="preserve">A stakeholder </w:t>
      </w:r>
      <w:r w:rsidR="00672EF6" w:rsidRPr="007F1CDC">
        <w:rPr>
          <w:rFonts w:ascii="Arial" w:hAnsi="Arial" w:cs="Arial"/>
          <w:bCs/>
          <w:spacing w:val="-3"/>
          <w:sz w:val="22"/>
          <w:szCs w:val="22"/>
        </w:rPr>
        <w:t xml:space="preserve">review </w:t>
      </w:r>
      <w:r w:rsidRPr="007F1CDC">
        <w:rPr>
          <w:rFonts w:ascii="Arial" w:hAnsi="Arial" w:cs="Arial"/>
          <w:bCs/>
          <w:spacing w:val="-3"/>
          <w:sz w:val="22"/>
          <w:szCs w:val="22"/>
        </w:rPr>
        <w:t xml:space="preserve">panel was established to </w:t>
      </w:r>
      <w:r w:rsidR="005E346D">
        <w:rPr>
          <w:rFonts w:ascii="Arial" w:hAnsi="Arial" w:cs="Arial"/>
          <w:bCs/>
          <w:spacing w:val="-3"/>
          <w:sz w:val="22"/>
          <w:szCs w:val="22"/>
        </w:rPr>
        <w:t xml:space="preserve">assist in the review of the Act. </w:t>
      </w:r>
      <w:r w:rsidR="005E346D" w:rsidRPr="007F1CDC">
        <w:rPr>
          <w:rFonts w:ascii="Arial" w:hAnsi="Arial" w:cs="Arial"/>
          <w:bCs/>
          <w:spacing w:val="-3"/>
          <w:sz w:val="22"/>
          <w:szCs w:val="22"/>
        </w:rPr>
        <w:t>The panel consisted of government and non-government representatives, including peak/advocacy bodies, tourism and housing agencies and a cross-section of sector representatives.</w:t>
      </w:r>
    </w:p>
    <w:p w:rsidR="00133FB7" w:rsidRDefault="00133FB7" w:rsidP="00133FB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33FB7">
        <w:rPr>
          <w:rFonts w:ascii="Arial" w:hAnsi="Arial" w:cs="Arial"/>
          <w:bCs/>
          <w:spacing w:val="-3"/>
          <w:sz w:val="22"/>
          <w:szCs w:val="22"/>
        </w:rPr>
        <w:t>Eight recommendations were made as a result of the review. Of these recommendations, three are non-legislative and involve practice and communication improvements while five r</w:t>
      </w:r>
      <w:r>
        <w:rPr>
          <w:rFonts w:ascii="Arial" w:hAnsi="Arial" w:cs="Arial"/>
          <w:bCs/>
          <w:spacing w:val="-3"/>
          <w:sz w:val="22"/>
          <w:szCs w:val="22"/>
        </w:rPr>
        <w:t>equire legislative amendments.</w:t>
      </w:r>
    </w:p>
    <w:p w:rsidR="00133FB7" w:rsidRPr="00133FB7" w:rsidRDefault="00133FB7" w:rsidP="00133FB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5E346D">
        <w:rPr>
          <w:rFonts w:ascii="Arial" w:hAnsi="Arial" w:cs="Arial"/>
          <w:bCs/>
          <w:spacing w:val="-3"/>
          <w:sz w:val="22"/>
          <w:szCs w:val="22"/>
        </w:rPr>
        <w:t>he Guide, Hearing and Ass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istance Dogs Amendment Bill 2015 </w:t>
      </w:r>
      <w:r w:rsidR="00CE3838">
        <w:rPr>
          <w:rFonts w:ascii="Arial" w:hAnsi="Arial" w:cs="Arial"/>
          <w:bCs/>
          <w:spacing w:val="-3"/>
          <w:sz w:val="22"/>
          <w:szCs w:val="22"/>
        </w:rPr>
        <w:t xml:space="preserve">(the Bill) </w:t>
      </w:r>
      <w:r w:rsidR="00DE4181">
        <w:rPr>
          <w:rFonts w:ascii="Arial" w:hAnsi="Arial" w:cs="Arial"/>
          <w:bCs/>
          <w:spacing w:val="-3"/>
          <w:sz w:val="22"/>
          <w:szCs w:val="22"/>
        </w:rPr>
        <w:t xml:space="preserve">gives effect to </w:t>
      </w:r>
      <w:r w:rsidR="00CE3838">
        <w:rPr>
          <w:rFonts w:ascii="Arial" w:hAnsi="Arial" w:cs="Arial"/>
          <w:bCs/>
          <w:spacing w:val="-3"/>
          <w:sz w:val="22"/>
          <w:szCs w:val="22"/>
        </w:rPr>
        <w:t xml:space="preserve">the recommendations requiring legislative amendments.  </w:t>
      </w:r>
      <w:r w:rsidR="00DE4181">
        <w:rPr>
          <w:rFonts w:ascii="Arial" w:hAnsi="Arial" w:cs="Arial"/>
          <w:bCs/>
          <w:spacing w:val="-3"/>
          <w:sz w:val="22"/>
          <w:szCs w:val="22"/>
        </w:rPr>
        <w:t xml:space="preserve">The Bill </w:t>
      </w:r>
      <w:r w:rsidRPr="00133FB7">
        <w:rPr>
          <w:rFonts w:ascii="Arial" w:hAnsi="Arial" w:cs="Arial"/>
          <w:bCs/>
          <w:spacing w:val="-3"/>
          <w:sz w:val="22"/>
          <w:szCs w:val="22"/>
        </w:rPr>
        <w:t>makes the following changes to the Act to reduce red-tape for training institutions and make it easier for guide, hearing and assistance dog users to obtain handler identity cards:</w:t>
      </w:r>
    </w:p>
    <w:p w:rsidR="00133FB7" w:rsidRPr="00133FB7" w:rsidRDefault="00133FB7" w:rsidP="00E46E39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33FB7">
        <w:rPr>
          <w:rFonts w:ascii="Arial" w:hAnsi="Arial" w:cs="Arial"/>
          <w:bCs/>
          <w:spacing w:val="-3"/>
          <w:sz w:val="22"/>
          <w:szCs w:val="22"/>
        </w:rPr>
        <w:t>removing duplication in the issuing of handler identity cards by authorising approved trainers and training institutions to issue these cards</w:t>
      </w:r>
    </w:p>
    <w:p w:rsidR="00133FB7" w:rsidRPr="00133FB7" w:rsidRDefault="00133FB7" w:rsidP="00E46E39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33FB7">
        <w:rPr>
          <w:rFonts w:ascii="Arial" w:hAnsi="Arial" w:cs="Arial"/>
          <w:bCs/>
          <w:spacing w:val="-3"/>
          <w:sz w:val="22"/>
          <w:szCs w:val="22"/>
        </w:rPr>
        <w:t xml:space="preserve">recognising alternative handlers to enable more people with disability the opportunity to apply for </w:t>
      </w:r>
      <w:r w:rsidRPr="00167340">
        <w:rPr>
          <w:rFonts w:ascii="Arial" w:hAnsi="Arial" w:cs="Arial"/>
          <w:bCs/>
          <w:spacing w:val="-3"/>
          <w:sz w:val="22"/>
          <w:szCs w:val="22"/>
        </w:rPr>
        <w:t>a</w:t>
      </w:r>
      <w:r w:rsidR="003F3DFE" w:rsidRPr="00167340">
        <w:rPr>
          <w:rFonts w:ascii="Arial" w:hAnsi="Arial" w:cs="Arial"/>
          <w:bCs/>
          <w:spacing w:val="-3"/>
          <w:sz w:val="22"/>
          <w:szCs w:val="22"/>
        </w:rPr>
        <w:t xml:space="preserve"> primary</w:t>
      </w:r>
      <w:r w:rsidRPr="00167340">
        <w:rPr>
          <w:rFonts w:ascii="Arial" w:hAnsi="Arial" w:cs="Arial"/>
          <w:bCs/>
          <w:spacing w:val="-3"/>
          <w:sz w:val="22"/>
          <w:szCs w:val="22"/>
        </w:rPr>
        <w:t xml:space="preserve"> handler’s</w:t>
      </w:r>
      <w:r w:rsidRPr="00133FB7">
        <w:rPr>
          <w:rFonts w:ascii="Arial" w:hAnsi="Arial" w:cs="Arial"/>
          <w:bCs/>
          <w:spacing w:val="-3"/>
          <w:sz w:val="22"/>
          <w:szCs w:val="22"/>
        </w:rPr>
        <w:t xml:space="preserve"> identity card</w:t>
      </w:r>
    </w:p>
    <w:p w:rsidR="00133FB7" w:rsidRPr="00133FB7" w:rsidRDefault="00133FB7" w:rsidP="00E46E39">
      <w:pPr>
        <w:pStyle w:val="ListParagraph"/>
        <w:numPr>
          <w:ilvl w:val="0"/>
          <w:numId w:val="4"/>
        </w:numPr>
        <w:spacing w:before="120"/>
        <w:ind w:left="714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33FB7">
        <w:rPr>
          <w:rFonts w:ascii="Arial" w:hAnsi="Arial" w:cs="Arial"/>
          <w:bCs/>
          <w:spacing w:val="-3"/>
          <w:sz w:val="22"/>
          <w:szCs w:val="22"/>
        </w:rPr>
        <w:t>relaxing the requirements around proof of disability when a handler renews their card</w:t>
      </w:r>
    </w:p>
    <w:p w:rsidR="00133FB7" w:rsidRPr="00133FB7" w:rsidRDefault="00133FB7" w:rsidP="00E46E39">
      <w:pPr>
        <w:pStyle w:val="ListParagraph"/>
        <w:numPr>
          <w:ilvl w:val="0"/>
          <w:numId w:val="4"/>
        </w:numPr>
        <w:spacing w:before="120"/>
        <w:ind w:left="714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33FB7">
        <w:rPr>
          <w:rFonts w:ascii="Arial" w:hAnsi="Arial" w:cs="Arial"/>
          <w:bCs/>
          <w:spacing w:val="-3"/>
          <w:sz w:val="22"/>
          <w:szCs w:val="22"/>
        </w:rPr>
        <w:t>providing more flexibility to the Chief Executive to call upon the advice of experts in the approval and standard setting process</w:t>
      </w:r>
    </w:p>
    <w:p w:rsidR="00133FB7" w:rsidRPr="00133FB7" w:rsidRDefault="00133FB7" w:rsidP="00E46E39">
      <w:pPr>
        <w:pStyle w:val="ListParagraph"/>
        <w:numPr>
          <w:ilvl w:val="0"/>
          <w:numId w:val="4"/>
        </w:numPr>
        <w:spacing w:before="120"/>
        <w:ind w:left="714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33FB7">
        <w:rPr>
          <w:rFonts w:ascii="Arial" w:hAnsi="Arial" w:cs="Arial"/>
          <w:bCs/>
          <w:spacing w:val="-3"/>
          <w:sz w:val="22"/>
          <w:szCs w:val="22"/>
        </w:rPr>
        <w:t xml:space="preserve">allowing an approved training institution to certify a guide, hearing or assistance dog of a shareholder, director or employee trainer of that institution. </w:t>
      </w:r>
    </w:p>
    <w:p w:rsidR="00133FB7" w:rsidRDefault="00984E07" w:rsidP="00133FB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CE3838">
        <w:rPr>
          <w:rFonts w:ascii="Arial" w:hAnsi="Arial" w:cs="Arial"/>
          <w:bCs/>
          <w:spacing w:val="-3"/>
          <w:sz w:val="22"/>
          <w:szCs w:val="22"/>
        </w:rPr>
        <w:t>he Bill also strengthens the m</w:t>
      </w:r>
      <w:r w:rsidR="00133FB7" w:rsidRPr="00133FB7">
        <w:rPr>
          <w:rFonts w:ascii="Arial" w:hAnsi="Arial" w:cs="Arial"/>
          <w:bCs/>
          <w:spacing w:val="-3"/>
          <w:sz w:val="22"/>
          <w:szCs w:val="22"/>
        </w:rPr>
        <w:t>onitoring, investigative and enforcement provisions of th</w:t>
      </w:r>
      <w:r w:rsidR="00133FB7">
        <w:rPr>
          <w:rFonts w:ascii="Arial" w:hAnsi="Arial" w:cs="Arial"/>
          <w:bCs/>
          <w:spacing w:val="-3"/>
          <w:sz w:val="22"/>
          <w:szCs w:val="22"/>
        </w:rPr>
        <w:t>e Act</w:t>
      </w:r>
      <w:r w:rsidR="00CE383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33FB7" w:rsidRPr="00133FB7">
        <w:rPr>
          <w:rFonts w:ascii="Arial" w:hAnsi="Arial" w:cs="Arial"/>
          <w:bCs/>
          <w:spacing w:val="-3"/>
          <w:sz w:val="22"/>
          <w:szCs w:val="22"/>
        </w:rPr>
        <w:t xml:space="preserve">to equip authorised officers with </w:t>
      </w:r>
      <w:r w:rsidR="00CE3838">
        <w:rPr>
          <w:rFonts w:ascii="Arial" w:hAnsi="Arial" w:cs="Arial"/>
          <w:bCs/>
          <w:spacing w:val="-3"/>
          <w:sz w:val="22"/>
          <w:szCs w:val="22"/>
        </w:rPr>
        <w:t xml:space="preserve">a greater continuum of powers </w:t>
      </w:r>
      <w:r w:rsidR="00133FB7" w:rsidRPr="00133FB7">
        <w:rPr>
          <w:rFonts w:ascii="Arial" w:hAnsi="Arial" w:cs="Arial"/>
          <w:bCs/>
          <w:spacing w:val="-3"/>
          <w:sz w:val="22"/>
          <w:szCs w:val="22"/>
        </w:rPr>
        <w:t xml:space="preserve">to monitor, investigate and enforce compliance with the Act. These include the power to request information and enter premises by way of </w:t>
      </w:r>
      <w:r w:rsidR="0023519F"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="00133FB7" w:rsidRPr="00133FB7">
        <w:rPr>
          <w:rFonts w:ascii="Arial" w:hAnsi="Arial" w:cs="Arial"/>
          <w:bCs/>
          <w:spacing w:val="-3"/>
          <w:sz w:val="22"/>
          <w:szCs w:val="22"/>
        </w:rPr>
        <w:t>warrant.</w:t>
      </w:r>
    </w:p>
    <w:p w:rsidR="005E346D" w:rsidRPr="005E346D" w:rsidRDefault="005E346D" w:rsidP="005E346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E346D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5E346D">
        <w:rPr>
          <w:rFonts w:ascii="Arial" w:hAnsi="Arial" w:cs="Arial"/>
          <w:bCs/>
          <w:spacing w:val="-3"/>
          <w:sz w:val="22"/>
          <w:szCs w:val="22"/>
        </w:rPr>
        <w:t xml:space="preserve"> the introduction of the Guide, Hearing and Assi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stance Dogs Amendment Bill </w:t>
      </w:r>
      <w:r w:rsidR="00133FB7">
        <w:rPr>
          <w:rFonts w:ascii="Arial" w:hAnsi="Arial" w:cs="Arial"/>
          <w:bCs/>
          <w:spacing w:val="-3"/>
          <w:sz w:val="22"/>
          <w:szCs w:val="22"/>
        </w:rPr>
        <w:t xml:space="preserve">2015 </w:t>
      </w:r>
      <w:r w:rsidRPr="005E346D">
        <w:rPr>
          <w:rFonts w:ascii="Arial" w:hAnsi="Arial" w:cs="Arial"/>
          <w:bCs/>
          <w:spacing w:val="-3"/>
          <w:sz w:val="22"/>
          <w:szCs w:val="22"/>
        </w:rPr>
        <w:t>into the Legislative Assembly.</w:t>
      </w:r>
    </w:p>
    <w:p w:rsidR="005E346D" w:rsidRPr="005E346D" w:rsidRDefault="005E346D" w:rsidP="00E46E39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5E346D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133FB7" w:rsidRPr="00811111" w:rsidRDefault="00FF6599" w:rsidP="00E46E39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133FB7" w:rsidRPr="001434D5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Guide, Hearing and Assistance Dogs Amendment Bill 2015</w:t>
        </w:r>
      </w:hyperlink>
      <w:r w:rsidR="00133FB7" w:rsidRPr="00811111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5E346D" w:rsidRPr="00811111" w:rsidRDefault="00FF6599" w:rsidP="00E46E39">
      <w:pPr>
        <w:pStyle w:val="ListParagraph"/>
        <w:numPr>
          <w:ilvl w:val="0"/>
          <w:numId w:val="5"/>
        </w:numPr>
        <w:tabs>
          <w:tab w:val="num" w:pos="360"/>
        </w:tabs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DA627A" w:rsidRPr="001434D5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sectPr w:rsidR="005E346D" w:rsidRPr="00811111" w:rsidSect="00DE49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90" w:rsidRDefault="00620F90" w:rsidP="00D6589B">
      <w:r>
        <w:separator/>
      </w:r>
    </w:p>
  </w:endnote>
  <w:endnote w:type="continuationSeparator" w:id="0">
    <w:p w:rsidR="00620F90" w:rsidRDefault="00620F9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FB7" w:rsidRDefault="00133F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FB7" w:rsidRDefault="00133F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FB7" w:rsidRDefault="00133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90" w:rsidRDefault="00620F90" w:rsidP="00D6589B">
      <w:r>
        <w:separator/>
      </w:r>
    </w:p>
  </w:footnote>
  <w:footnote w:type="continuationSeparator" w:id="0">
    <w:p w:rsidR="00620F90" w:rsidRDefault="00620F9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FB7" w:rsidRDefault="00133F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FB7" w:rsidRPr="00937A4A" w:rsidRDefault="00133FB7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133FB7" w:rsidRPr="00937A4A" w:rsidRDefault="00133FB7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133FB7" w:rsidRPr="00937A4A" w:rsidRDefault="00133FB7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</w:t>
    </w:r>
    <w:r>
      <w:rPr>
        <w:rFonts w:ascii="Arial" w:hAnsi="Arial" w:cs="Arial"/>
        <w:b/>
        <w:color w:val="auto"/>
        <w:sz w:val="22"/>
        <w:szCs w:val="22"/>
        <w:lang w:eastAsia="en-US"/>
      </w:rPr>
      <w:t>– June 2015</w:t>
    </w:r>
  </w:p>
  <w:p w:rsidR="00133FB7" w:rsidRPr="00D70C75" w:rsidRDefault="00133FB7" w:rsidP="00D70C75">
    <w:pPr>
      <w:keepLines/>
      <w:spacing w:before="240"/>
      <w:jc w:val="both"/>
      <w:rPr>
        <w:rFonts w:ascii="Arial" w:hAnsi="Arial" w:cs="Arial"/>
        <w:b/>
        <w:sz w:val="22"/>
        <w:szCs w:val="22"/>
        <w:u w:val="single"/>
      </w:rPr>
    </w:pPr>
    <w:r w:rsidRPr="00D70C75">
      <w:rPr>
        <w:rFonts w:ascii="Arial" w:hAnsi="Arial" w:cs="Arial"/>
        <w:b/>
        <w:sz w:val="22"/>
        <w:szCs w:val="22"/>
        <w:u w:val="single"/>
      </w:rPr>
      <w:t>Guide, Hearing and Assistance Dogs Amendment Bill 2015</w:t>
    </w:r>
  </w:p>
  <w:p w:rsidR="00133FB7" w:rsidRDefault="00133FB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Disability Services, Minister for Seniors and Minister Assisting the Premier on North Queensland </w:t>
    </w:r>
  </w:p>
  <w:p w:rsidR="00133FB7" w:rsidRDefault="00133FB7" w:rsidP="00A25806">
    <w:pPr>
      <w:pStyle w:val="Header"/>
      <w:pBdr>
        <w:bottom w:val="single" w:sz="4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FB7" w:rsidRDefault="00133F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B3358"/>
    <w:multiLevelType w:val="hybridMultilevel"/>
    <w:tmpl w:val="EC8EC4CE"/>
    <w:lvl w:ilvl="0" w:tplc="BCEC1F40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  <w:b w:val="0"/>
        <w:i w:val="0"/>
        <w:color w:val="auto"/>
        <w:sz w:val="22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858AF"/>
    <w:multiLevelType w:val="hybridMultilevel"/>
    <w:tmpl w:val="06703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9475C"/>
    <w:multiLevelType w:val="hybridMultilevel"/>
    <w:tmpl w:val="9678E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2F7105"/>
    <w:multiLevelType w:val="hybridMultilevel"/>
    <w:tmpl w:val="2E62AE3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80F8F"/>
    <w:rsid w:val="000A65E3"/>
    <w:rsid w:val="0010384C"/>
    <w:rsid w:val="00133FB7"/>
    <w:rsid w:val="001434D5"/>
    <w:rsid w:val="00167340"/>
    <w:rsid w:val="001678C4"/>
    <w:rsid w:val="00174117"/>
    <w:rsid w:val="001803CC"/>
    <w:rsid w:val="00187866"/>
    <w:rsid w:val="0023519F"/>
    <w:rsid w:val="002D2182"/>
    <w:rsid w:val="0033317A"/>
    <w:rsid w:val="003A3BDD"/>
    <w:rsid w:val="003F3DFE"/>
    <w:rsid w:val="0047764F"/>
    <w:rsid w:val="00501C66"/>
    <w:rsid w:val="00550873"/>
    <w:rsid w:val="005B13BA"/>
    <w:rsid w:val="005E346D"/>
    <w:rsid w:val="005F299C"/>
    <w:rsid w:val="00620F90"/>
    <w:rsid w:val="00622473"/>
    <w:rsid w:val="00672EF6"/>
    <w:rsid w:val="006A53E1"/>
    <w:rsid w:val="006D16FA"/>
    <w:rsid w:val="0071387D"/>
    <w:rsid w:val="007265D0"/>
    <w:rsid w:val="00732E22"/>
    <w:rsid w:val="00741C20"/>
    <w:rsid w:val="0074732B"/>
    <w:rsid w:val="007D170A"/>
    <w:rsid w:val="007F1CDC"/>
    <w:rsid w:val="007F44F4"/>
    <w:rsid w:val="00811111"/>
    <w:rsid w:val="00904077"/>
    <w:rsid w:val="00914E2A"/>
    <w:rsid w:val="00937A4A"/>
    <w:rsid w:val="00984E07"/>
    <w:rsid w:val="00A11178"/>
    <w:rsid w:val="00A25806"/>
    <w:rsid w:val="00A37CB9"/>
    <w:rsid w:val="00A562E8"/>
    <w:rsid w:val="00A6645E"/>
    <w:rsid w:val="00AA4DE7"/>
    <w:rsid w:val="00AA7FEF"/>
    <w:rsid w:val="00B21EBB"/>
    <w:rsid w:val="00BC75AE"/>
    <w:rsid w:val="00C63B52"/>
    <w:rsid w:val="00C75E67"/>
    <w:rsid w:val="00CB1501"/>
    <w:rsid w:val="00CB307F"/>
    <w:rsid w:val="00CC7B57"/>
    <w:rsid w:val="00CD2789"/>
    <w:rsid w:val="00CD7A50"/>
    <w:rsid w:val="00CE3232"/>
    <w:rsid w:val="00CE3838"/>
    <w:rsid w:val="00CF0D8A"/>
    <w:rsid w:val="00D6589B"/>
    <w:rsid w:val="00D70C75"/>
    <w:rsid w:val="00DA627A"/>
    <w:rsid w:val="00DC0302"/>
    <w:rsid w:val="00DE4181"/>
    <w:rsid w:val="00DE497A"/>
    <w:rsid w:val="00E323A6"/>
    <w:rsid w:val="00E46E39"/>
    <w:rsid w:val="00E63B2C"/>
    <w:rsid w:val="00E7692E"/>
    <w:rsid w:val="00F45B99"/>
    <w:rsid w:val="00F7299C"/>
    <w:rsid w:val="00F77CE0"/>
    <w:rsid w:val="00FB2BAE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E3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326</Words>
  <Characters>1860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2183</CharactersWithSpaces>
  <SharedDoc>false</SharedDoc>
  <HyperlinkBase>https://www.cabinet.qld.gov.au/documents/2015/Jun/GuideDogBill/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2016-01-14T01:52:00Z</cp:lastPrinted>
  <dcterms:created xsi:type="dcterms:W3CDTF">2017-10-25T01:32:00Z</dcterms:created>
  <dcterms:modified xsi:type="dcterms:W3CDTF">2018-03-06T01:28:00Z</dcterms:modified>
  <cp:category>Disability_Services,Animal_Management,Legislation</cp:category>
</cp:coreProperties>
</file>